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632DF" w14:textId="0D4A6FBC" w:rsidR="00A925C7" w:rsidRDefault="00A925C7">
      <w:pPr>
        <w:pStyle w:val="Body"/>
        <w:rPr>
          <w:b/>
          <w:bCs/>
        </w:rPr>
      </w:pPr>
    </w:p>
    <w:p w14:paraId="1E1632E0" w14:textId="00A92E8F" w:rsidR="00A925C7" w:rsidRDefault="00494707">
      <w:pPr>
        <w:pStyle w:val="Body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CNL</w:t>
      </w:r>
      <w:r w:rsidR="00002C86">
        <w:rPr>
          <w:b/>
          <w:bCs/>
          <w:sz w:val="32"/>
          <w:szCs w:val="32"/>
          <w:lang w:val="en-US"/>
        </w:rPr>
        <w:t>-518 Topic 8: Bereavement Across the Life</w:t>
      </w:r>
      <w:r w:rsidR="002B7BF6">
        <w:rPr>
          <w:b/>
          <w:bCs/>
          <w:sz w:val="32"/>
          <w:szCs w:val="32"/>
          <w:lang w:val="en-US"/>
        </w:rPr>
        <w:t xml:space="preserve"> S</w:t>
      </w:r>
      <w:r w:rsidR="00002C86">
        <w:rPr>
          <w:b/>
          <w:bCs/>
          <w:sz w:val="32"/>
          <w:szCs w:val="32"/>
          <w:lang w:val="en-US"/>
        </w:rPr>
        <w:t>pan</w:t>
      </w:r>
    </w:p>
    <w:p w14:paraId="1E1632E1" w14:textId="64CFB1C1" w:rsidR="00A925C7" w:rsidRDefault="00002C86">
      <w:pPr>
        <w:pStyle w:val="Body"/>
        <w:spacing w:before="100" w:after="100" w:line="240" w:lineRule="auto"/>
        <w:rPr>
          <w:lang w:val="en-US"/>
        </w:rPr>
      </w:pPr>
      <w:r>
        <w:rPr>
          <w:b/>
          <w:bCs/>
          <w:lang w:val="fr-FR"/>
        </w:rPr>
        <w:t xml:space="preserve">Directions: </w:t>
      </w:r>
      <w:r>
        <w:rPr>
          <w:lang w:val="en-US"/>
        </w:rPr>
        <w:t xml:space="preserve">One's understanding of death and the bereavement process changes over the life span. Using the matrix provided below, summarize how </w:t>
      </w:r>
      <w:r w:rsidR="00F448C2">
        <w:rPr>
          <w:lang w:val="en-US"/>
        </w:rPr>
        <w:t xml:space="preserve">individuals understand </w:t>
      </w:r>
      <w:r>
        <w:rPr>
          <w:lang w:val="en-US"/>
        </w:rPr>
        <w:t>the various stages of life</w:t>
      </w:r>
      <w:r w:rsidR="00DD1D66">
        <w:rPr>
          <w:lang w:val="en-US"/>
        </w:rPr>
        <w:t>,</w:t>
      </w:r>
      <w:r>
        <w:rPr>
          <w:lang w:val="en-US"/>
        </w:rPr>
        <w:t xml:space="preserve"> death, and how each might grieve the loss of a loved one. Create a short vignette for each age group that expresses your understanding of the age group's response to death and bereavement. Finally, hypothesize how a </w:t>
      </w:r>
      <w:r w:rsidR="00125632">
        <w:rPr>
          <w:lang w:val="en-US"/>
        </w:rPr>
        <w:t xml:space="preserve">clinical mental health or school </w:t>
      </w:r>
      <w:r>
        <w:rPr>
          <w:lang w:val="en-US"/>
        </w:rPr>
        <w:t>counselor</w:t>
      </w:r>
      <w:r w:rsidR="002B636F">
        <w:rPr>
          <w:lang w:val="en-US"/>
        </w:rPr>
        <w:t xml:space="preserve"> </w:t>
      </w:r>
      <w:r>
        <w:rPr>
          <w:lang w:val="en-US"/>
        </w:rPr>
        <w:t xml:space="preserve">might counsel each age group through the bereavement process. The first stage has been completed for you as an example. </w:t>
      </w:r>
      <w:r w:rsidR="0053698E">
        <w:rPr>
          <w:lang w:val="en-US"/>
        </w:rPr>
        <w:t xml:space="preserve">Include in-text citations in the chart and references at the bottom of the worksheet as appropriate. </w:t>
      </w:r>
      <w:r w:rsidR="00E52B0D">
        <w:rPr>
          <w:lang w:val="en-US"/>
        </w:rPr>
        <w:t xml:space="preserve">Do not exceed 50 words per box. </w:t>
      </w:r>
    </w:p>
    <w:p w14:paraId="4C95A0F7" w14:textId="77777777" w:rsidR="00DC5126" w:rsidRDefault="00DC5126">
      <w:pPr>
        <w:pStyle w:val="Body"/>
        <w:spacing w:before="100" w:after="100" w:line="240" w:lineRule="auto"/>
      </w:pPr>
    </w:p>
    <w:tbl>
      <w:tblPr>
        <w:tblW w:w="971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39"/>
        <w:gridCol w:w="2777"/>
        <w:gridCol w:w="1719"/>
        <w:gridCol w:w="1614"/>
        <w:gridCol w:w="1966"/>
      </w:tblGrid>
      <w:tr w:rsidR="00A925C7" w14:paraId="1E1632E8" w14:textId="77777777" w:rsidTr="00901E22">
        <w:trPr>
          <w:trHeight w:val="2061"/>
          <w:tblHeader/>
          <w:jc w:val="center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632E2" w14:textId="574F1BA2" w:rsidR="00A925C7" w:rsidRDefault="00002C86" w:rsidP="007A4978">
            <w:pPr>
              <w:pStyle w:val="Body"/>
              <w:jc w:val="center"/>
            </w:pPr>
            <w:r>
              <w:rPr>
                <w:b/>
                <w:bCs/>
                <w:lang w:val="en-US"/>
              </w:rPr>
              <w:t xml:space="preserve">Age Group 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632E3" w14:textId="3D368BE3" w:rsidR="00A925C7" w:rsidRDefault="00DC5126" w:rsidP="007A4978">
            <w:pPr>
              <w:jc w:val="center"/>
            </w:pPr>
            <w:r w:rsidRPr="00DC5126">
              <w:rPr>
                <w:rFonts w:eastAsia="Calibri" w:cs="Calibri"/>
                <w:b/>
                <w:bCs/>
                <w:u w:color="000000"/>
              </w:rPr>
              <w:t>Perception/Cognition of Grief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632E4" w14:textId="77777777" w:rsidR="00A925C7" w:rsidRDefault="00002C86" w:rsidP="007A4978">
            <w:pPr>
              <w:pStyle w:val="Body"/>
              <w:spacing w:line="240" w:lineRule="auto"/>
              <w:jc w:val="center"/>
            </w:pPr>
            <w:r>
              <w:rPr>
                <w:b/>
                <w:bCs/>
                <w:lang w:val="en-US"/>
              </w:rPr>
              <w:t>Response to Grief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632E5" w14:textId="77777777" w:rsidR="00A925C7" w:rsidRDefault="00002C86" w:rsidP="007A4978">
            <w:pPr>
              <w:pStyle w:val="Body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Vignette</w:t>
            </w:r>
          </w:p>
          <w:p w14:paraId="1E1632E6" w14:textId="77777777" w:rsidR="00A925C7" w:rsidRDefault="00002C86" w:rsidP="007A4978">
            <w:pPr>
              <w:pStyle w:val="Body"/>
              <w:spacing w:line="240" w:lineRule="auto"/>
              <w:jc w:val="center"/>
            </w:pPr>
            <w:r>
              <w:rPr>
                <w:b/>
                <w:bCs/>
                <w:lang w:val="en-US"/>
              </w:rPr>
              <w:t>(short example/story of a child’s loss scenario)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632E7" w14:textId="011094D4" w:rsidR="00A925C7" w:rsidRDefault="00901E22" w:rsidP="007A4978">
            <w:pPr>
              <w:pStyle w:val="Body"/>
              <w:spacing w:line="240" w:lineRule="auto"/>
              <w:jc w:val="center"/>
            </w:pPr>
            <w:r>
              <w:rPr>
                <w:b/>
                <w:bCs/>
                <w:lang w:val="en-US"/>
              </w:rPr>
              <w:t xml:space="preserve">Developmentally Appropriate </w:t>
            </w:r>
            <w:r w:rsidR="00002C86">
              <w:rPr>
                <w:b/>
                <w:bCs/>
                <w:lang w:val="en-US"/>
              </w:rPr>
              <w:t xml:space="preserve">Counseling Interventions </w:t>
            </w:r>
            <w:r w:rsidR="00DC5126" w:rsidRPr="00DC5126">
              <w:rPr>
                <w:b/>
                <w:bCs/>
                <w:color w:val="auto"/>
                <w:lang w:val="en-US"/>
              </w:rPr>
              <w:t xml:space="preserve">(including </w:t>
            </w:r>
            <w:r w:rsidR="00125632">
              <w:rPr>
                <w:b/>
                <w:bCs/>
                <w:color w:val="auto"/>
                <w:lang w:val="en-US"/>
              </w:rPr>
              <w:t xml:space="preserve">empirically- </w:t>
            </w:r>
            <w:proofErr w:type="gramStart"/>
            <w:r w:rsidR="00125632">
              <w:rPr>
                <w:b/>
                <w:bCs/>
                <w:color w:val="auto"/>
                <w:lang w:val="en-US"/>
              </w:rPr>
              <w:t xml:space="preserve">sound </w:t>
            </w:r>
            <w:r w:rsidR="00DC5126" w:rsidRPr="00DC5126">
              <w:rPr>
                <w:b/>
                <w:bCs/>
                <w:color w:val="auto"/>
                <w:lang w:val="en-US"/>
              </w:rPr>
              <w:t xml:space="preserve"> interventions</w:t>
            </w:r>
            <w:proofErr w:type="gramEnd"/>
            <w:r w:rsidR="00DC5126" w:rsidRPr="00DC5126">
              <w:rPr>
                <w:b/>
                <w:bCs/>
                <w:color w:val="auto"/>
                <w:lang w:val="en-US"/>
              </w:rPr>
              <w:t xml:space="preserve"> for </w:t>
            </w:r>
            <w:r w:rsidR="00DC5126" w:rsidRPr="0089379A">
              <w:rPr>
                <w:b/>
                <w:bCs/>
                <w:color w:val="auto"/>
                <w:lang w:val="en-US"/>
              </w:rPr>
              <w:t>this age group)</w:t>
            </w:r>
          </w:p>
        </w:tc>
      </w:tr>
      <w:tr w:rsidR="00A925C7" w14:paraId="1E1632F4" w14:textId="77777777" w:rsidTr="00901E22">
        <w:trPr>
          <w:trHeight w:val="2760"/>
          <w:jc w:val="center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632E9" w14:textId="77777777" w:rsidR="00A925C7" w:rsidRPr="007A4978" w:rsidRDefault="00002C86">
            <w:pPr>
              <w:pStyle w:val="Body"/>
              <w:spacing w:line="240" w:lineRule="auto"/>
              <w:rPr>
                <w:b/>
              </w:rPr>
            </w:pPr>
            <w:r w:rsidRPr="007A4978">
              <w:rPr>
                <w:b/>
                <w:lang w:val="en-US"/>
              </w:rPr>
              <w:t>Baby and Toddler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632EA" w14:textId="4F5D56F1" w:rsidR="00A925C7" w:rsidRDefault="00DC5126">
            <w:r w:rsidRPr="00DC5126">
              <w:rPr>
                <w:rFonts w:eastAsia="Calibri" w:cs="Calibri"/>
                <w:u w:color="000000"/>
              </w:rPr>
              <w:t>Does not understand the permanency of grief</w:t>
            </w:r>
            <w:r w:rsidR="007A4978">
              <w:rPr>
                <w:rFonts w:eastAsia="Calibri" w:cs="Calibri"/>
                <w:u w:color="000000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632ED" w14:textId="6B7BEF10" w:rsidR="00A925C7" w:rsidRPr="007A4978" w:rsidRDefault="00002C86">
            <w:pPr>
              <w:pStyle w:val="Body"/>
              <w:spacing w:line="240" w:lineRule="auto"/>
            </w:pPr>
            <w:r>
              <w:rPr>
                <w:lang w:val="en-US"/>
              </w:rPr>
              <w:t>Excessive crying</w:t>
            </w:r>
            <w:r w:rsidR="007A4978">
              <w:rPr>
                <w:lang w:val="en-US"/>
              </w:rPr>
              <w:t xml:space="preserve"> and</w:t>
            </w:r>
            <w:r>
              <w:rPr>
                <w:lang w:val="en-US"/>
              </w:rPr>
              <w:t xml:space="preserve"> yearning </w:t>
            </w:r>
            <w:r w:rsidR="007A4978">
              <w:rPr>
                <w:lang w:val="en-US"/>
              </w:rPr>
              <w:t xml:space="preserve">to </w:t>
            </w:r>
            <w:r w:rsidR="00E52B0D">
              <w:rPr>
                <w:lang w:val="en-US"/>
              </w:rPr>
              <w:t xml:space="preserve">be </w:t>
            </w:r>
            <w:r>
              <w:rPr>
                <w:lang w:val="en-US"/>
              </w:rPr>
              <w:t>held</w:t>
            </w:r>
            <w:r w:rsidR="007A4978">
              <w:rPr>
                <w:lang w:val="en-US"/>
              </w:rPr>
              <w:t>.</w:t>
            </w:r>
          </w:p>
          <w:p w14:paraId="1E1632EE" w14:textId="77777777" w:rsidR="00A925C7" w:rsidRDefault="00A925C7">
            <w:pPr>
              <w:pStyle w:val="Body"/>
              <w:spacing w:line="240" w:lineRule="auto"/>
              <w:rPr>
                <w:lang w:val="en-US"/>
              </w:rPr>
            </w:pPr>
          </w:p>
          <w:p w14:paraId="1E1632EF" w14:textId="77777777" w:rsidR="00A925C7" w:rsidRDefault="00A925C7">
            <w:pPr>
              <w:pStyle w:val="Body"/>
              <w:spacing w:line="240" w:lineRule="auto"/>
              <w:rPr>
                <w:lang w:val="en-US"/>
              </w:rPr>
            </w:pPr>
          </w:p>
          <w:p w14:paraId="1E1632F0" w14:textId="77777777" w:rsidR="00A925C7" w:rsidRDefault="00A925C7">
            <w:pPr>
              <w:pStyle w:val="Body"/>
              <w:spacing w:line="240" w:lineRule="auto"/>
              <w:rPr>
                <w:lang w:val="en-US"/>
              </w:rPr>
            </w:pPr>
          </w:p>
          <w:p w14:paraId="1E1632F1" w14:textId="77777777" w:rsidR="00A925C7" w:rsidRDefault="00A925C7">
            <w:pPr>
              <w:pStyle w:val="Body"/>
              <w:spacing w:line="240" w:lineRule="auto"/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632F2" w14:textId="77777777" w:rsidR="00A925C7" w:rsidRDefault="00002C86">
            <w:pPr>
              <w:pStyle w:val="Body"/>
              <w:spacing w:line="240" w:lineRule="auto"/>
            </w:pPr>
            <w:r>
              <w:rPr>
                <w:lang w:val="en-US"/>
              </w:rPr>
              <w:t>A baby’s birth mother died during delivery.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632F3" w14:textId="77777777" w:rsidR="00A925C7" w:rsidRDefault="00002C86">
            <w:pPr>
              <w:pStyle w:val="Body"/>
              <w:spacing w:line="240" w:lineRule="auto"/>
            </w:pPr>
            <w:r>
              <w:rPr>
                <w:lang w:val="en-US"/>
              </w:rPr>
              <w:t xml:space="preserve">Counsel the guardians of the baby to be sure to tend to the baby’s need for touch and comfort. </w:t>
            </w:r>
          </w:p>
        </w:tc>
      </w:tr>
      <w:tr w:rsidR="00A925C7" w14:paraId="1E1632FA" w14:textId="77777777" w:rsidTr="00901E22">
        <w:trPr>
          <w:trHeight w:val="2760"/>
          <w:jc w:val="center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632F5" w14:textId="30653E20" w:rsidR="00A925C7" w:rsidRPr="007A4978" w:rsidRDefault="00002C86">
            <w:pPr>
              <w:pStyle w:val="Body"/>
              <w:spacing w:line="240" w:lineRule="auto"/>
              <w:rPr>
                <w:b/>
              </w:rPr>
            </w:pPr>
            <w:r w:rsidRPr="007A4978">
              <w:rPr>
                <w:b/>
                <w:lang w:val="en-US"/>
              </w:rPr>
              <w:t xml:space="preserve">Preschool </w:t>
            </w:r>
            <w:r w:rsidR="007A4978" w:rsidRPr="007A4978">
              <w:rPr>
                <w:b/>
                <w:lang w:val="en-US"/>
              </w:rPr>
              <w:t>A</w:t>
            </w:r>
            <w:r w:rsidRPr="007A4978">
              <w:rPr>
                <w:b/>
                <w:lang w:val="en-US"/>
              </w:rPr>
              <w:t>ge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54955" w14:textId="45175867" w:rsidR="00D94E6E" w:rsidRDefault="00D94E6E" w:rsidP="00D94E6E">
            <w:r w:rsidRPr="00B919C0">
              <w:rPr>
                <w:rStyle w:val="Emphasis"/>
                <w:i w:val="0"/>
                <w:iCs w:val="0"/>
                <w:color w:val="0E101A"/>
              </w:rPr>
              <w:t>Preschoolers tend to believe that death is temporary and magical, something dramatic that comes to get you in the middle of the night like a burglar or a</w:t>
            </w:r>
            <w:r w:rsidR="00B919C0">
              <w:rPr>
                <w:rStyle w:val="Emphasis"/>
                <w:i w:val="0"/>
                <w:iCs w:val="0"/>
                <w:color w:val="0E101A"/>
              </w:rPr>
              <w:t xml:space="preserve"> </w:t>
            </w:r>
            <w:r w:rsidRPr="00B919C0">
              <w:rPr>
                <w:rStyle w:val="Emphasis"/>
                <w:i w:val="0"/>
                <w:iCs w:val="0"/>
                <w:color w:val="0E101A"/>
              </w:rPr>
              <w:t>ghost.</w:t>
            </w:r>
            <w:r>
              <w:rPr>
                <w:rStyle w:val="Emphasis"/>
                <w:color w:val="0E101A"/>
              </w:rPr>
              <w:t>  </w:t>
            </w:r>
            <w:r>
              <w:rPr>
                <w:color w:val="0E101A"/>
              </w:rPr>
              <w:t xml:space="preserve"> </w:t>
            </w:r>
          </w:p>
          <w:p w14:paraId="1E1632F6" w14:textId="60EF2377" w:rsidR="00A925C7" w:rsidRDefault="00D37611">
            <w:r w:rsidRPr="00D37611">
              <w:rPr>
                <w:rFonts w:eastAsia="Times New Roman"/>
                <w:color w:val="414141"/>
                <w:bdr w:val="none" w:sz="0" w:space="0" w:color="auto"/>
              </w:rPr>
              <w:t>Kail, R. V., &amp; Cavanaugh, J. C. (2016).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DB203" w14:textId="3DF9CF2E" w:rsidR="00B919C0" w:rsidRPr="00910B28" w:rsidRDefault="00B919C0" w:rsidP="00B919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10B28">
              <w:rPr>
                <w:sz w:val="21"/>
                <w:szCs w:val="21"/>
              </w:rPr>
              <w:t>Typical reactions in early childhood include</w:t>
            </w:r>
            <w:r w:rsidR="007F231D">
              <w:rPr>
                <w:sz w:val="21"/>
                <w:szCs w:val="21"/>
              </w:rPr>
              <w:t xml:space="preserve"> </w:t>
            </w:r>
            <w:r w:rsidRPr="00910B28">
              <w:rPr>
                <w:sz w:val="21"/>
                <w:szCs w:val="21"/>
              </w:rPr>
              <w:t>regression, guilt for causing</w:t>
            </w:r>
          </w:p>
          <w:p w14:paraId="5DC2DAD4" w14:textId="77777777" w:rsidR="00B919C0" w:rsidRPr="00910B28" w:rsidRDefault="00B919C0" w:rsidP="00B919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10B28">
              <w:rPr>
                <w:sz w:val="21"/>
                <w:szCs w:val="21"/>
              </w:rPr>
              <w:t>the death, denial, displacement, repression, and wishful thinking that the deceased</w:t>
            </w:r>
          </w:p>
          <w:p w14:paraId="1E1632F7" w14:textId="3FFEF0A6" w:rsidR="00A925C7" w:rsidRDefault="00B919C0" w:rsidP="00910B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</w:pPr>
            <w:r w:rsidRPr="00910B28">
              <w:rPr>
                <w:sz w:val="21"/>
                <w:szCs w:val="21"/>
              </w:rPr>
              <w:t>will return.</w:t>
            </w:r>
            <w:r>
              <w:rPr>
                <w:i/>
                <w:iCs/>
                <w:sz w:val="21"/>
                <w:szCs w:val="21"/>
              </w:rPr>
              <w:t xml:space="preserve">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632F8" w14:textId="77777777" w:rsidR="00A925C7" w:rsidRDefault="00A925C7"/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632F9" w14:textId="1928C7A0" w:rsidR="00A925C7" w:rsidRPr="007F231D" w:rsidRDefault="007F231D" w:rsidP="007F23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F231D">
              <w:rPr>
                <w:sz w:val="21"/>
                <w:szCs w:val="21"/>
              </w:rPr>
              <w:t>Sensitivity to these feelings and how they get</w:t>
            </w:r>
            <w:r>
              <w:rPr>
                <w:sz w:val="21"/>
                <w:szCs w:val="21"/>
              </w:rPr>
              <w:t xml:space="preserve"> </w:t>
            </w:r>
            <w:r w:rsidRPr="007F231D">
              <w:rPr>
                <w:sz w:val="21"/>
                <w:szCs w:val="21"/>
              </w:rPr>
              <w:t>expressed is essential so that the child can understand what happened and that he or</w:t>
            </w:r>
            <w:r>
              <w:rPr>
                <w:sz w:val="21"/>
                <w:szCs w:val="21"/>
              </w:rPr>
              <w:t xml:space="preserve"> </w:t>
            </w:r>
            <w:r w:rsidRPr="007F231D">
              <w:rPr>
                <w:sz w:val="21"/>
                <w:szCs w:val="21"/>
              </w:rPr>
              <w:t>she did not cause the death.</w:t>
            </w:r>
          </w:p>
        </w:tc>
      </w:tr>
      <w:tr w:rsidR="00A925C7" w14:paraId="1E163309" w14:textId="77777777" w:rsidTr="00901E22">
        <w:trPr>
          <w:trHeight w:val="2760"/>
          <w:jc w:val="center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632FB" w14:textId="3D6C5C24" w:rsidR="00A925C7" w:rsidRPr="007A4978" w:rsidRDefault="00002C86">
            <w:pPr>
              <w:pStyle w:val="Body"/>
              <w:spacing w:line="240" w:lineRule="auto"/>
              <w:rPr>
                <w:b/>
              </w:rPr>
            </w:pPr>
            <w:r w:rsidRPr="007A4978">
              <w:rPr>
                <w:b/>
                <w:lang w:val="en-US"/>
              </w:rPr>
              <w:lastRenderedPageBreak/>
              <w:t xml:space="preserve">Grade </w:t>
            </w:r>
            <w:r w:rsidR="007A4978" w:rsidRPr="007A4978">
              <w:rPr>
                <w:b/>
                <w:lang w:val="en-US"/>
              </w:rPr>
              <w:t>S</w:t>
            </w:r>
            <w:r w:rsidRPr="007A4978">
              <w:rPr>
                <w:b/>
                <w:lang w:val="en-US"/>
              </w:rPr>
              <w:t>chool Age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11C88" w14:textId="77777777" w:rsidR="00502502" w:rsidRDefault="00735FA5" w:rsidP="00502502">
            <w:r>
              <w:rPr>
                <w:color w:val="0E101A"/>
              </w:rPr>
              <w:t>Children do not understand that death is permanent and that</w:t>
            </w:r>
            <w:r w:rsidR="00502502">
              <w:rPr>
                <w:color w:val="0E101A"/>
              </w:rPr>
              <w:t xml:space="preserve"> </w:t>
            </w:r>
            <w:r w:rsidR="00502502">
              <w:rPr>
                <w:color w:val="0E101A"/>
              </w:rPr>
              <w:t>everyone dies until they are 5 to 7 years old.</w:t>
            </w:r>
          </w:p>
          <w:p w14:paraId="1E1632FC" w14:textId="17A045AE" w:rsidR="00A925C7" w:rsidRDefault="00A925C7"/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A855F" w14:textId="77777777" w:rsidR="00910B28" w:rsidRPr="00910B28" w:rsidRDefault="00910B28" w:rsidP="00910B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10B28">
              <w:rPr>
                <w:sz w:val="21"/>
                <w:szCs w:val="21"/>
              </w:rPr>
              <w:t>In later childhood, common behaviors include problems at school, anger,</w:t>
            </w:r>
          </w:p>
          <w:p w14:paraId="1E1632FF" w14:textId="6FD12222" w:rsidR="00A925C7" w:rsidRPr="00910B28" w:rsidRDefault="00910B28">
            <w:pPr>
              <w:pStyle w:val="Body"/>
              <w:spacing w:line="240" w:lineRule="auto"/>
              <w:rPr>
                <w:lang w:val="en-US"/>
              </w:rPr>
            </w:pPr>
            <w:proofErr w:type="spellStart"/>
            <w:r w:rsidRPr="00910B28">
              <w:rPr>
                <w:sz w:val="21"/>
                <w:szCs w:val="21"/>
              </w:rPr>
              <w:t>and</w:t>
            </w:r>
            <w:proofErr w:type="spellEnd"/>
            <w:r w:rsidRPr="00910B28">
              <w:rPr>
                <w:sz w:val="21"/>
                <w:szCs w:val="21"/>
              </w:rPr>
              <w:t xml:space="preserve"> </w:t>
            </w:r>
            <w:proofErr w:type="spellStart"/>
            <w:r w:rsidRPr="00910B28">
              <w:rPr>
                <w:sz w:val="21"/>
                <w:szCs w:val="21"/>
              </w:rPr>
              <w:t>physical</w:t>
            </w:r>
            <w:proofErr w:type="spellEnd"/>
            <w:r w:rsidRPr="00910B28">
              <w:rPr>
                <w:sz w:val="21"/>
                <w:szCs w:val="21"/>
              </w:rPr>
              <w:t xml:space="preserve"> </w:t>
            </w:r>
            <w:proofErr w:type="spellStart"/>
            <w:r w:rsidRPr="00910B28">
              <w:rPr>
                <w:sz w:val="21"/>
                <w:szCs w:val="21"/>
              </w:rPr>
              <w:t>ailments</w:t>
            </w:r>
            <w:proofErr w:type="spellEnd"/>
          </w:p>
          <w:p w14:paraId="1E163300" w14:textId="77777777" w:rsidR="00A925C7" w:rsidRDefault="00A925C7">
            <w:pPr>
              <w:pStyle w:val="Body"/>
              <w:spacing w:line="240" w:lineRule="auto"/>
              <w:rPr>
                <w:lang w:val="en-US"/>
              </w:rPr>
            </w:pPr>
          </w:p>
          <w:p w14:paraId="1E163301" w14:textId="77777777" w:rsidR="00A925C7" w:rsidRDefault="00A925C7">
            <w:pPr>
              <w:pStyle w:val="Body"/>
              <w:spacing w:line="240" w:lineRule="auto"/>
              <w:rPr>
                <w:lang w:val="en-US"/>
              </w:rPr>
            </w:pPr>
          </w:p>
          <w:p w14:paraId="1E163302" w14:textId="77777777" w:rsidR="00A925C7" w:rsidRDefault="00A925C7">
            <w:pPr>
              <w:pStyle w:val="Body"/>
              <w:spacing w:line="240" w:lineRule="auto"/>
              <w:rPr>
                <w:lang w:val="en-US"/>
              </w:rPr>
            </w:pPr>
          </w:p>
          <w:p w14:paraId="1E163303" w14:textId="77777777" w:rsidR="00A925C7" w:rsidRDefault="00A925C7">
            <w:pPr>
              <w:pStyle w:val="Body"/>
              <w:spacing w:line="240" w:lineRule="auto"/>
              <w:rPr>
                <w:lang w:val="en-US"/>
              </w:rPr>
            </w:pPr>
          </w:p>
          <w:p w14:paraId="1E163304" w14:textId="77777777" w:rsidR="00A925C7" w:rsidRDefault="00A925C7">
            <w:pPr>
              <w:pStyle w:val="Body"/>
              <w:spacing w:line="240" w:lineRule="auto"/>
              <w:rPr>
                <w:lang w:val="en-US"/>
              </w:rPr>
            </w:pPr>
          </w:p>
          <w:p w14:paraId="1E163305" w14:textId="77777777" w:rsidR="00A925C7" w:rsidRDefault="00A925C7">
            <w:pPr>
              <w:pStyle w:val="Body"/>
              <w:spacing w:line="240" w:lineRule="auto"/>
              <w:rPr>
                <w:lang w:val="en-US"/>
              </w:rPr>
            </w:pPr>
          </w:p>
          <w:p w14:paraId="1E163306" w14:textId="77777777" w:rsidR="00A925C7" w:rsidRDefault="00A925C7">
            <w:pPr>
              <w:pStyle w:val="Body"/>
              <w:spacing w:line="240" w:lineRule="auto"/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63307" w14:textId="429B34A8" w:rsidR="00A925C7" w:rsidRDefault="00502502">
            <w:r>
              <w:t xml:space="preserve">Death of a grandparent.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30082" w14:textId="77777777" w:rsidR="007F231D" w:rsidRPr="007F231D" w:rsidRDefault="007F231D" w:rsidP="007F23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F231D">
              <w:rPr>
                <w:sz w:val="21"/>
                <w:szCs w:val="21"/>
              </w:rPr>
              <w:t>When explaining death to children, it is best to deal with them on their terms.</w:t>
            </w:r>
          </w:p>
          <w:p w14:paraId="2D1770B7" w14:textId="77777777" w:rsidR="007F231D" w:rsidRPr="007F231D" w:rsidRDefault="007F231D" w:rsidP="007F23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F231D">
              <w:rPr>
                <w:sz w:val="21"/>
                <w:szCs w:val="21"/>
              </w:rPr>
              <w:t>Keep explanations simple, at a level they can understand. Try to allay their fears and</w:t>
            </w:r>
          </w:p>
          <w:p w14:paraId="774BEF20" w14:textId="77777777" w:rsidR="007F231D" w:rsidRPr="007F231D" w:rsidRDefault="007F231D" w:rsidP="007F23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F231D">
              <w:rPr>
                <w:sz w:val="21"/>
                <w:szCs w:val="21"/>
              </w:rPr>
              <w:t>reassure them that whatever reaction they have is okay. Providing loving support for</w:t>
            </w:r>
          </w:p>
          <w:p w14:paraId="1E163308" w14:textId="4074562A" w:rsidR="00A925C7" w:rsidRPr="007F231D" w:rsidRDefault="007F231D" w:rsidP="007F23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F231D">
              <w:rPr>
                <w:sz w:val="21"/>
                <w:szCs w:val="21"/>
              </w:rPr>
              <w:t>the child will maximize the potential for a successful (albeit painful) introduction to</w:t>
            </w:r>
            <w:r>
              <w:rPr>
                <w:sz w:val="21"/>
                <w:szCs w:val="21"/>
              </w:rPr>
              <w:t xml:space="preserve"> </w:t>
            </w:r>
            <w:r w:rsidRPr="007F231D">
              <w:rPr>
                <w:sz w:val="21"/>
                <w:szCs w:val="21"/>
              </w:rPr>
              <w:t>one of life’s realities</w:t>
            </w:r>
            <w:r>
              <w:rPr>
                <w:i/>
                <w:iCs/>
                <w:sz w:val="21"/>
                <w:szCs w:val="21"/>
              </w:rPr>
              <w:t>.</w:t>
            </w:r>
          </w:p>
        </w:tc>
      </w:tr>
      <w:tr w:rsidR="00A925C7" w14:paraId="1E16330F" w14:textId="77777777" w:rsidTr="00901E22">
        <w:trPr>
          <w:trHeight w:val="2760"/>
          <w:jc w:val="center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6330A" w14:textId="36B5B136" w:rsidR="00A925C7" w:rsidRPr="007A4978" w:rsidRDefault="007A4978">
            <w:pPr>
              <w:pStyle w:val="Body"/>
              <w:spacing w:line="240" w:lineRule="auto"/>
              <w:rPr>
                <w:b/>
              </w:rPr>
            </w:pPr>
            <w:r w:rsidRPr="007A4978">
              <w:rPr>
                <w:b/>
                <w:lang w:val="en-US"/>
              </w:rPr>
              <w:t>Adolescence/</w:t>
            </w:r>
            <w:r w:rsidR="00002C86" w:rsidRPr="007A4978">
              <w:rPr>
                <w:b/>
                <w:lang w:val="en-US"/>
              </w:rPr>
              <w:t xml:space="preserve">Teenage </w:t>
            </w:r>
            <w:r w:rsidRPr="007A4978">
              <w:rPr>
                <w:b/>
                <w:lang w:val="en-US"/>
              </w:rPr>
              <w:t>Y</w:t>
            </w:r>
            <w:r w:rsidR="00002C86" w:rsidRPr="007A4978">
              <w:rPr>
                <w:b/>
                <w:lang w:val="en-US"/>
              </w:rPr>
              <w:t>ears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E4EBE" w14:textId="77777777" w:rsidR="009C1297" w:rsidRPr="009C1297" w:rsidRDefault="009C1297" w:rsidP="009C12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C1297">
              <w:rPr>
                <w:sz w:val="21"/>
                <w:szCs w:val="21"/>
              </w:rPr>
              <w:t>When teenagers experience the death of someone close to</w:t>
            </w:r>
          </w:p>
          <w:p w14:paraId="1E16330B" w14:textId="2C11924A" w:rsidR="00A925C7" w:rsidRPr="009C1297" w:rsidRDefault="009C1297" w:rsidP="009C12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C1297">
              <w:rPr>
                <w:sz w:val="21"/>
                <w:szCs w:val="21"/>
              </w:rPr>
              <w:t>them, they may have considerable trouble making sense of the event, especially if</w:t>
            </w:r>
            <w:r>
              <w:rPr>
                <w:sz w:val="21"/>
                <w:szCs w:val="21"/>
              </w:rPr>
              <w:t xml:space="preserve"> </w:t>
            </w:r>
            <w:r w:rsidRPr="009C1297">
              <w:rPr>
                <w:sz w:val="21"/>
                <w:szCs w:val="21"/>
              </w:rPr>
              <w:t>this is their first experience (</w:t>
            </w:r>
            <w:proofErr w:type="spellStart"/>
            <w:r w:rsidRPr="009C1297">
              <w:rPr>
                <w:sz w:val="21"/>
                <w:szCs w:val="21"/>
              </w:rPr>
              <w:t>Oltjenbruns</w:t>
            </w:r>
            <w:proofErr w:type="spellEnd"/>
            <w:r w:rsidRPr="009C1297">
              <w:rPr>
                <w:sz w:val="21"/>
                <w:szCs w:val="21"/>
              </w:rPr>
              <w:t xml:space="preserve"> &amp; Balk, 2007).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68CA4" w14:textId="77777777" w:rsidR="009C1297" w:rsidRPr="007F231D" w:rsidRDefault="009C1297" w:rsidP="009C12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F231D">
              <w:rPr>
                <w:sz w:val="21"/>
                <w:szCs w:val="21"/>
              </w:rPr>
              <w:t>The effects of bereavement</w:t>
            </w:r>
          </w:p>
          <w:p w14:paraId="6D159345" w14:textId="74936FC3" w:rsidR="009C1297" w:rsidRPr="007F231D" w:rsidRDefault="009C1297" w:rsidP="009C12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F231D">
              <w:rPr>
                <w:sz w:val="21"/>
                <w:szCs w:val="21"/>
              </w:rPr>
              <w:t>in adolescence can be quite severe, especially when the death was unexpected, and</w:t>
            </w:r>
            <w:r w:rsidR="00F2616B">
              <w:rPr>
                <w:sz w:val="21"/>
                <w:szCs w:val="21"/>
              </w:rPr>
              <w:t xml:space="preserve"> </w:t>
            </w:r>
            <w:r w:rsidRPr="007F231D">
              <w:rPr>
                <w:sz w:val="21"/>
                <w:szCs w:val="21"/>
              </w:rPr>
              <w:t>can be expressed in many ways, such as chronic illness, enduring guilt, low self-esteem,</w:t>
            </w:r>
            <w:r>
              <w:rPr>
                <w:sz w:val="21"/>
                <w:szCs w:val="21"/>
              </w:rPr>
              <w:t xml:space="preserve"> </w:t>
            </w:r>
            <w:r w:rsidRPr="007F231D">
              <w:rPr>
                <w:sz w:val="21"/>
                <w:szCs w:val="21"/>
              </w:rPr>
              <w:t>poorer performance in school and on the job, substance abuse, problems</w:t>
            </w:r>
          </w:p>
          <w:p w14:paraId="1E16330C" w14:textId="6FBFBCC4" w:rsidR="00A925C7" w:rsidRDefault="009C1297" w:rsidP="009C1297">
            <w:r w:rsidRPr="007F231D">
              <w:rPr>
                <w:sz w:val="21"/>
                <w:szCs w:val="21"/>
              </w:rPr>
              <w:lastRenderedPageBreak/>
              <w:t>in interpersonal relationships, and suicidal thinking.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6330D" w14:textId="48C3B88F" w:rsidR="00A925C7" w:rsidRDefault="00502502">
            <w:r>
              <w:lastRenderedPageBreak/>
              <w:t>Death of a close friend</w:t>
            </w:r>
            <w:r w:rsidR="00F2616B">
              <w:t xml:space="preserve"> in a tragic car accident.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6330E" w14:textId="77777777" w:rsidR="00A925C7" w:rsidRDefault="00A925C7"/>
        </w:tc>
      </w:tr>
      <w:tr w:rsidR="007A4978" w14:paraId="4B929600" w14:textId="77777777" w:rsidTr="00901E22">
        <w:trPr>
          <w:trHeight w:val="2760"/>
          <w:jc w:val="center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D0026" w14:textId="3FAA0EC8" w:rsidR="007A4978" w:rsidRPr="007A4978" w:rsidRDefault="007A4978">
            <w:pPr>
              <w:pStyle w:val="Body"/>
              <w:spacing w:line="240" w:lineRule="auto"/>
              <w:rPr>
                <w:b/>
                <w:lang w:val="en-US"/>
              </w:rPr>
            </w:pPr>
            <w:r w:rsidRPr="007A4978">
              <w:rPr>
                <w:b/>
                <w:lang w:val="en-US"/>
              </w:rPr>
              <w:t>Adulthood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F7C72" w14:textId="7D76BE3A" w:rsidR="00443996" w:rsidRPr="00443996" w:rsidRDefault="00443996" w:rsidP="004439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43996">
              <w:rPr>
                <w:sz w:val="21"/>
                <w:szCs w:val="21"/>
              </w:rPr>
              <w:t>How we deal with such losses as</w:t>
            </w:r>
            <w:r w:rsidRPr="00443996">
              <w:rPr>
                <w:sz w:val="21"/>
                <w:szCs w:val="21"/>
              </w:rPr>
              <w:t xml:space="preserve"> </w:t>
            </w:r>
            <w:r w:rsidRPr="00443996">
              <w:rPr>
                <w:sz w:val="21"/>
                <w:szCs w:val="21"/>
              </w:rPr>
              <w:t>adults depends somewhat on the nature of the loss and our age and experience with</w:t>
            </w:r>
          </w:p>
          <w:p w14:paraId="0A7B794A" w14:textId="02760EBD" w:rsidR="007A4978" w:rsidRPr="00443996" w:rsidRDefault="00443996" w:rsidP="00443996">
            <w:r w:rsidRPr="00443996">
              <w:rPr>
                <w:sz w:val="21"/>
                <w:szCs w:val="21"/>
              </w:rPr>
              <w:t>death.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FDC80" w14:textId="613685E9" w:rsidR="006F6D53" w:rsidRPr="006F6D53" w:rsidRDefault="006F6D53" w:rsidP="006F6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  <w:r w:rsidRPr="006F6D53">
              <w:rPr>
                <w:sz w:val="21"/>
                <w:szCs w:val="21"/>
              </w:rPr>
              <w:t>igh anxiety, a more negative</w:t>
            </w:r>
          </w:p>
          <w:p w14:paraId="3DE8CA4C" w14:textId="5104074D" w:rsidR="007A4978" w:rsidRDefault="006F6D53" w:rsidP="006F6D53">
            <w:r w:rsidRPr="006F6D53">
              <w:rPr>
                <w:sz w:val="21"/>
                <w:szCs w:val="21"/>
              </w:rPr>
              <w:t>view of the world, and much guilt</w:t>
            </w:r>
            <w:r>
              <w:rPr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5AB37" w14:textId="3EE94CE3" w:rsidR="007A4978" w:rsidRDefault="00502502">
            <w:r>
              <w:t>Death of a child.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61C25" w14:textId="5FBF40B1" w:rsidR="007A4978" w:rsidRDefault="00201E7E">
            <w:r>
              <w:t>Seeking support from family and friends by sending time, asking for help can be comforting.  Joining a support group and sharing the experience with others who have los</w:t>
            </w:r>
            <w:r w:rsidR="00133881">
              <w:t>t</w:t>
            </w:r>
            <w:r>
              <w:t xml:space="preserve"> loved ones </w:t>
            </w:r>
            <w:r w:rsidR="00133881">
              <w:t xml:space="preserve">can be comforting as well.  </w:t>
            </w:r>
          </w:p>
        </w:tc>
      </w:tr>
      <w:tr w:rsidR="007A4978" w14:paraId="602777FA" w14:textId="77777777" w:rsidTr="00901E22">
        <w:trPr>
          <w:trHeight w:val="2760"/>
          <w:jc w:val="center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071EA" w14:textId="2D517292" w:rsidR="007A4978" w:rsidRPr="007A4978" w:rsidRDefault="007A4978">
            <w:pPr>
              <w:pStyle w:val="Body"/>
              <w:spacing w:line="240" w:lineRule="auto"/>
              <w:rPr>
                <w:b/>
                <w:lang w:val="en-US"/>
              </w:rPr>
            </w:pPr>
            <w:r w:rsidRPr="007A4978">
              <w:rPr>
                <w:b/>
                <w:lang w:val="en-US"/>
              </w:rPr>
              <w:t>Late Adulthood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B7FA2" w14:textId="77777777" w:rsidR="00787D54" w:rsidRPr="00787D54" w:rsidRDefault="00787D54" w:rsidP="00787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87D54">
              <w:rPr>
                <w:sz w:val="21"/>
                <w:szCs w:val="21"/>
              </w:rPr>
              <w:t>In general, older adults are less anxious about death and more accepting of it than any</w:t>
            </w:r>
          </w:p>
          <w:p w14:paraId="4EAA0888" w14:textId="77777777" w:rsidR="007A4978" w:rsidRDefault="00787D54" w:rsidP="00787D54">
            <w:pPr>
              <w:rPr>
                <w:sz w:val="21"/>
                <w:szCs w:val="21"/>
              </w:rPr>
            </w:pPr>
            <w:r w:rsidRPr="00787D54">
              <w:rPr>
                <w:sz w:val="21"/>
                <w:szCs w:val="21"/>
              </w:rPr>
              <w:t>other age group (</w:t>
            </w:r>
            <w:proofErr w:type="spellStart"/>
            <w:r w:rsidRPr="00787D54">
              <w:rPr>
                <w:sz w:val="21"/>
                <w:szCs w:val="21"/>
              </w:rPr>
              <w:t>Kastenbaum</w:t>
            </w:r>
            <w:proofErr w:type="spellEnd"/>
            <w:r w:rsidRPr="00787D54">
              <w:rPr>
                <w:sz w:val="21"/>
                <w:szCs w:val="21"/>
              </w:rPr>
              <w:t>, 1999).</w:t>
            </w:r>
          </w:p>
          <w:p w14:paraId="217EF97F" w14:textId="61211EDE" w:rsidR="00787D54" w:rsidRDefault="00787D54" w:rsidP="00787D54"/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98168" w14:textId="0F5C971D" w:rsidR="00F2616B" w:rsidRPr="00F2616B" w:rsidRDefault="00F2616B" w:rsidP="00F261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</w:t>
            </w:r>
            <w:r w:rsidRPr="00F2616B">
              <w:rPr>
                <w:sz w:val="21"/>
                <w:szCs w:val="21"/>
              </w:rPr>
              <w:t>ntense emotional upset, survivor</w:t>
            </w:r>
            <w:r>
              <w:rPr>
                <w:sz w:val="21"/>
                <w:szCs w:val="21"/>
              </w:rPr>
              <w:t xml:space="preserve"> </w:t>
            </w:r>
            <w:r w:rsidRPr="00F2616B">
              <w:rPr>
                <w:sz w:val="21"/>
                <w:szCs w:val="21"/>
              </w:rPr>
              <w:t>guilt, regrets about the relationship with the deceased grandchild, and a need</w:t>
            </w:r>
            <w:r>
              <w:rPr>
                <w:sz w:val="21"/>
                <w:szCs w:val="21"/>
              </w:rPr>
              <w:t xml:space="preserve"> </w:t>
            </w:r>
            <w:r w:rsidRPr="00F2616B">
              <w:rPr>
                <w:sz w:val="21"/>
                <w:szCs w:val="21"/>
              </w:rPr>
              <w:t xml:space="preserve">to restructure relationships with the surviving family. </w:t>
            </w:r>
          </w:p>
          <w:p w14:paraId="1F364EA9" w14:textId="0BD2742A" w:rsidR="007A4978" w:rsidRDefault="007A4978" w:rsidP="00F2616B"/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474DA" w14:textId="14218187" w:rsidR="007A4978" w:rsidRDefault="00F2616B">
            <w:r w:rsidRPr="00F2616B">
              <w:rPr>
                <w:sz w:val="21"/>
                <w:szCs w:val="21"/>
              </w:rPr>
              <w:lastRenderedPageBreak/>
              <w:t>The loss of a grandchild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37F4C" w14:textId="5384DF12" w:rsidR="007A4978" w:rsidRDefault="00D37611">
            <w:r>
              <w:t xml:space="preserve">Seeking support from family and friends by sending time, asking for help can be comforting.  Joining a support group and sharing the experience with others who have lost loved </w:t>
            </w:r>
            <w:r>
              <w:lastRenderedPageBreak/>
              <w:t xml:space="preserve">ones can be comforting as well.  </w:t>
            </w:r>
          </w:p>
        </w:tc>
      </w:tr>
    </w:tbl>
    <w:p w14:paraId="1E16331C" w14:textId="77777777" w:rsidR="00A925C7" w:rsidRDefault="00A925C7">
      <w:pPr>
        <w:pStyle w:val="Body"/>
        <w:widowControl w:val="0"/>
        <w:spacing w:before="100" w:after="100" w:line="240" w:lineRule="auto"/>
      </w:pPr>
    </w:p>
    <w:p w14:paraId="1E16331D" w14:textId="039687AD" w:rsidR="00A925C7" w:rsidRDefault="00E52B0D" w:rsidP="00E52B0D">
      <w:pPr>
        <w:pStyle w:val="Body"/>
        <w:jc w:val="center"/>
      </w:pPr>
      <w:r>
        <w:t>References</w:t>
      </w:r>
    </w:p>
    <w:p w14:paraId="40DFAB66" w14:textId="77777777" w:rsidR="00D37611" w:rsidRDefault="00D37611" w:rsidP="00E52B0D">
      <w:pPr>
        <w:pStyle w:val="Body"/>
        <w:jc w:val="center"/>
      </w:pPr>
    </w:p>
    <w:p w14:paraId="4888EE74" w14:textId="0E45A613" w:rsidR="00D37611" w:rsidRDefault="00D37611" w:rsidP="00D376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60" w:lineRule="atLeast"/>
        <w:textAlignment w:val="baseline"/>
        <w:rPr>
          <w:rFonts w:eastAsia="Times New Roman"/>
          <w:color w:val="414141"/>
          <w:bdr w:val="none" w:sz="0" w:space="0" w:color="auto"/>
        </w:rPr>
      </w:pPr>
      <w:r w:rsidRPr="00D37611">
        <w:rPr>
          <w:rFonts w:eastAsia="Times New Roman"/>
          <w:color w:val="414141"/>
          <w:bdr w:val="none" w:sz="0" w:space="0" w:color="auto"/>
        </w:rPr>
        <w:t>Kail, R. V., &amp; Cavanaugh, J. C. (2016). Human development: A life-span view (7th ed.). Boston, MA: Cengage Learning</w:t>
      </w:r>
    </w:p>
    <w:p w14:paraId="2100EC96" w14:textId="77777777" w:rsidR="00D37611" w:rsidRPr="00D37611" w:rsidRDefault="00D37611" w:rsidP="00D376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60" w:lineRule="atLeast"/>
        <w:textAlignment w:val="baseline"/>
        <w:rPr>
          <w:rFonts w:eastAsia="Times New Roman"/>
          <w:bdr w:val="none" w:sz="0" w:space="0" w:color="auto" w:frame="1"/>
        </w:rPr>
      </w:pPr>
    </w:p>
    <w:p w14:paraId="602EDB1A" w14:textId="775E69D3" w:rsidR="00133881" w:rsidRPr="00133881" w:rsidRDefault="00133881" w:rsidP="00D37611">
      <w:pPr>
        <w:pStyle w:val="Body"/>
        <w:spacing w:line="480" w:lineRule="auto"/>
        <w:ind w:left="720" w:hanging="720"/>
        <w:rPr>
          <w:lang w:val="en-US"/>
        </w:rPr>
      </w:pPr>
      <w:proofErr w:type="spellStart"/>
      <w:r w:rsidRPr="00133881">
        <w:rPr>
          <w:lang w:val="en-US"/>
        </w:rPr>
        <w:t>Kastenbaum</w:t>
      </w:r>
      <w:proofErr w:type="spellEnd"/>
      <w:r w:rsidRPr="00133881">
        <w:rPr>
          <w:lang w:val="en-US"/>
        </w:rPr>
        <w:t>, R. (1999). Dying and bereavement. In J. C. Cavanaugh &amp; S. K.</w:t>
      </w:r>
    </w:p>
    <w:p w14:paraId="009869DD" w14:textId="77777777" w:rsidR="00133881" w:rsidRPr="00133881" w:rsidRDefault="00133881" w:rsidP="00D37611">
      <w:pPr>
        <w:pStyle w:val="Body"/>
        <w:spacing w:line="480" w:lineRule="auto"/>
        <w:ind w:left="720" w:hanging="720"/>
        <w:rPr>
          <w:lang w:val="en-US"/>
        </w:rPr>
      </w:pPr>
      <w:r w:rsidRPr="00133881">
        <w:rPr>
          <w:lang w:val="en-US"/>
        </w:rPr>
        <w:t>Whitbourne (Eds.), Gerontology: An interdisciplinary perspective. New</w:t>
      </w:r>
    </w:p>
    <w:p w14:paraId="02369B54" w14:textId="4FF894E3" w:rsidR="00E52B0D" w:rsidRDefault="00133881" w:rsidP="00D37611">
      <w:pPr>
        <w:pStyle w:val="Body"/>
        <w:spacing w:line="480" w:lineRule="auto"/>
        <w:ind w:left="720" w:hanging="720"/>
        <w:rPr>
          <w:lang w:val="en-US"/>
        </w:rPr>
      </w:pPr>
      <w:r w:rsidRPr="00133881">
        <w:rPr>
          <w:lang w:val="en-US"/>
        </w:rPr>
        <w:t>York: Oxford University Press</w:t>
      </w:r>
    </w:p>
    <w:p w14:paraId="0E749B57" w14:textId="2A780809" w:rsidR="00133881" w:rsidRDefault="00133881" w:rsidP="00D37611">
      <w:pPr>
        <w:pStyle w:val="Body"/>
        <w:spacing w:line="480" w:lineRule="auto"/>
        <w:ind w:left="720" w:hanging="720"/>
        <w:rPr>
          <w:lang w:val="en-US"/>
        </w:rPr>
      </w:pPr>
    </w:p>
    <w:p w14:paraId="1067B502" w14:textId="77777777" w:rsidR="00D37611" w:rsidRPr="00D37611" w:rsidRDefault="00D37611" w:rsidP="00D37611">
      <w:pPr>
        <w:pStyle w:val="Body"/>
        <w:spacing w:line="480" w:lineRule="auto"/>
        <w:ind w:left="720" w:hanging="720"/>
        <w:rPr>
          <w:lang w:val="en-US"/>
        </w:rPr>
      </w:pPr>
      <w:proofErr w:type="spellStart"/>
      <w:r w:rsidRPr="00D37611">
        <w:rPr>
          <w:lang w:val="en-US"/>
        </w:rPr>
        <w:t>Oltjenbruns</w:t>
      </w:r>
      <w:proofErr w:type="spellEnd"/>
      <w:r w:rsidRPr="00D37611">
        <w:rPr>
          <w:lang w:val="en-US"/>
        </w:rPr>
        <w:t>, K. A., &amp; Balk, D. E. (2007). Life span issues and loss, grief, and</w:t>
      </w:r>
    </w:p>
    <w:p w14:paraId="7597C578" w14:textId="77777777" w:rsidR="00D37611" w:rsidRPr="00D37611" w:rsidRDefault="00D37611" w:rsidP="00D37611">
      <w:pPr>
        <w:pStyle w:val="Body"/>
        <w:spacing w:line="480" w:lineRule="auto"/>
        <w:ind w:left="720" w:hanging="720"/>
        <w:rPr>
          <w:lang w:val="en-US"/>
        </w:rPr>
      </w:pPr>
      <w:r w:rsidRPr="00D37611">
        <w:rPr>
          <w:lang w:val="en-US"/>
        </w:rPr>
        <w:t>mourning: Part 1. The importance of a developmental context: Childhood</w:t>
      </w:r>
    </w:p>
    <w:p w14:paraId="5A7F9231" w14:textId="77777777" w:rsidR="00D37611" w:rsidRPr="00D37611" w:rsidRDefault="00D37611" w:rsidP="00D37611">
      <w:pPr>
        <w:pStyle w:val="Body"/>
        <w:spacing w:line="480" w:lineRule="auto"/>
        <w:ind w:left="720" w:hanging="720"/>
        <w:rPr>
          <w:lang w:val="en-US"/>
        </w:rPr>
      </w:pPr>
      <w:r w:rsidRPr="00D37611">
        <w:rPr>
          <w:lang w:val="en-US"/>
        </w:rPr>
        <w:t xml:space="preserve">and adolescence as an example; Part 2. Adulthood. In D. Balk, C. </w:t>
      </w:r>
      <w:proofErr w:type="spellStart"/>
      <w:r w:rsidRPr="00D37611">
        <w:rPr>
          <w:lang w:val="en-US"/>
        </w:rPr>
        <w:t>Wogrin</w:t>
      </w:r>
      <w:proofErr w:type="spellEnd"/>
      <w:r w:rsidRPr="00D37611">
        <w:rPr>
          <w:lang w:val="en-US"/>
        </w:rPr>
        <w:t>,</w:t>
      </w:r>
    </w:p>
    <w:p w14:paraId="6B18368B" w14:textId="77777777" w:rsidR="00D37611" w:rsidRPr="00D37611" w:rsidRDefault="00D37611" w:rsidP="00D37611">
      <w:pPr>
        <w:pStyle w:val="Body"/>
        <w:spacing w:line="480" w:lineRule="auto"/>
        <w:ind w:left="720" w:hanging="720"/>
        <w:rPr>
          <w:lang w:val="en-US"/>
        </w:rPr>
      </w:pPr>
      <w:r w:rsidRPr="00D37611">
        <w:rPr>
          <w:lang w:val="en-US"/>
        </w:rPr>
        <w:t>G. Thornton, &amp; D. Meagher (Eds.), Handbook of thanatology: The essential</w:t>
      </w:r>
    </w:p>
    <w:p w14:paraId="1AF15D0C" w14:textId="77777777" w:rsidR="00D37611" w:rsidRPr="00D37611" w:rsidRDefault="00D37611" w:rsidP="00D37611">
      <w:pPr>
        <w:pStyle w:val="Body"/>
        <w:spacing w:line="480" w:lineRule="auto"/>
        <w:ind w:left="720" w:hanging="720"/>
        <w:rPr>
          <w:lang w:val="en-US"/>
        </w:rPr>
      </w:pPr>
      <w:r w:rsidRPr="00D37611">
        <w:rPr>
          <w:lang w:val="en-US"/>
        </w:rPr>
        <w:lastRenderedPageBreak/>
        <w:t>body of knowledge for the study of death, dying, and bereavement</w:t>
      </w:r>
    </w:p>
    <w:p w14:paraId="59D91A48" w14:textId="388B543A" w:rsidR="00133881" w:rsidRPr="00D37611" w:rsidRDefault="00D37611" w:rsidP="00D37611">
      <w:pPr>
        <w:pStyle w:val="Body"/>
        <w:spacing w:line="480" w:lineRule="auto"/>
        <w:ind w:left="720" w:hanging="720"/>
      </w:pPr>
      <w:r w:rsidRPr="00D37611">
        <w:rPr>
          <w:lang w:val="en-US"/>
        </w:rPr>
        <w:t>(pp. 143–163). New York: Routledge/Taylor &amp; Francis.</w:t>
      </w:r>
    </w:p>
    <w:sectPr w:rsidR="00133881" w:rsidRPr="00D37611"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A4FD2" w14:textId="77777777" w:rsidR="00710040" w:rsidRDefault="00710040">
      <w:r>
        <w:separator/>
      </w:r>
    </w:p>
  </w:endnote>
  <w:endnote w:type="continuationSeparator" w:id="0">
    <w:p w14:paraId="7DE86934" w14:textId="77777777" w:rsidR="00710040" w:rsidRDefault="00710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331F" w14:textId="6DA4FEF5" w:rsidR="00A925C7" w:rsidRDefault="00002C86">
    <w:pPr>
      <w:pStyle w:val="Body"/>
      <w:jc w:val="center"/>
    </w:pPr>
    <w:r>
      <w:t xml:space="preserve">© </w:t>
    </w:r>
    <w:r>
      <w:rPr>
        <w:lang w:val="en-US"/>
      </w:rPr>
      <w:t>20</w:t>
    </w:r>
    <w:r w:rsidR="00022BB2">
      <w:rPr>
        <w:lang w:val="en-US"/>
      </w:rPr>
      <w:t>20</w:t>
    </w:r>
    <w:r>
      <w:rPr>
        <w:lang w:val="en-US"/>
      </w:rPr>
      <w:t>. Grand Canyon University. All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3321" w14:textId="6DD5FE07" w:rsidR="00A925C7" w:rsidRDefault="00002C86">
    <w:pPr>
      <w:pStyle w:val="Body"/>
      <w:jc w:val="center"/>
    </w:pPr>
    <w:r>
      <w:t xml:space="preserve">© </w:t>
    </w:r>
    <w:r w:rsidR="007A4978">
      <w:rPr>
        <w:lang w:val="en-US"/>
      </w:rPr>
      <w:t>20</w:t>
    </w:r>
    <w:r w:rsidR="00022BB2">
      <w:rPr>
        <w:lang w:val="en-US"/>
      </w:rPr>
      <w:t>20</w:t>
    </w:r>
    <w:r>
      <w:rPr>
        <w:lang w:val="en-US"/>
      </w:rPr>
      <w:t>. Grand Canyon University.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DA55B" w14:textId="77777777" w:rsidR="00710040" w:rsidRDefault="00710040">
      <w:r>
        <w:separator/>
      </w:r>
    </w:p>
  </w:footnote>
  <w:footnote w:type="continuationSeparator" w:id="0">
    <w:p w14:paraId="1D048E28" w14:textId="77777777" w:rsidR="00710040" w:rsidRDefault="00710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3320" w14:textId="77777777" w:rsidR="00A925C7" w:rsidRDefault="00002C86">
    <w:pPr>
      <w:pStyle w:val="Header"/>
      <w:tabs>
        <w:tab w:val="clear" w:pos="9360"/>
        <w:tab w:val="right" w:pos="9340"/>
      </w:tabs>
    </w:pPr>
    <w:r>
      <w:rPr>
        <w:noProof/>
      </w:rPr>
      <w:drawing>
        <wp:inline distT="0" distB="0" distL="0" distR="0" wp14:anchorId="1E163322" wp14:editId="1E163323">
          <wp:extent cx="3067050" cy="688890"/>
          <wp:effectExtent l="0" t="0" r="0" b="0"/>
          <wp:docPr id="1073741825" name="officeArt object" descr="cid:D7D4B297-EEAE-4174-AD01-F87097282051@canyon.co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id:D7D4B297-EEAE-4174-AD01-F87097282051@canyon.com" descr="cid:D7D4B297-EEAE-4174-AD01-F87097282051@canyon.com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67050" cy="6888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44272"/>
    <w:multiLevelType w:val="multilevel"/>
    <w:tmpl w:val="90BCE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5C7"/>
    <w:rsid w:val="00002C86"/>
    <w:rsid w:val="00022BB2"/>
    <w:rsid w:val="00026BC0"/>
    <w:rsid w:val="00027D46"/>
    <w:rsid w:val="000502BD"/>
    <w:rsid w:val="001016D7"/>
    <w:rsid w:val="00125632"/>
    <w:rsid w:val="00133881"/>
    <w:rsid w:val="00201E7E"/>
    <w:rsid w:val="00214337"/>
    <w:rsid w:val="002B636F"/>
    <w:rsid w:val="002B7BF6"/>
    <w:rsid w:val="0030099A"/>
    <w:rsid w:val="00443996"/>
    <w:rsid w:val="00491CF7"/>
    <w:rsid w:val="00494707"/>
    <w:rsid w:val="00502502"/>
    <w:rsid w:val="0053698E"/>
    <w:rsid w:val="00584091"/>
    <w:rsid w:val="005B1E84"/>
    <w:rsid w:val="0064088F"/>
    <w:rsid w:val="00652BAF"/>
    <w:rsid w:val="006F6D53"/>
    <w:rsid w:val="00710040"/>
    <w:rsid w:val="00735FA5"/>
    <w:rsid w:val="00787D54"/>
    <w:rsid w:val="007A4978"/>
    <w:rsid w:val="007F231D"/>
    <w:rsid w:val="0089379A"/>
    <w:rsid w:val="00901E22"/>
    <w:rsid w:val="00910B28"/>
    <w:rsid w:val="00977B96"/>
    <w:rsid w:val="009C1297"/>
    <w:rsid w:val="00A925C7"/>
    <w:rsid w:val="00B919C0"/>
    <w:rsid w:val="00BD1CEF"/>
    <w:rsid w:val="00C13643"/>
    <w:rsid w:val="00D035E6"/>
    <w:rsid w:val="00D34F14"/>
    <w:rsid w:val="00D37611"/>
    <w:rsid w:val="00D94E6E"/>
    <w:rsid w:val="00DC5126"/>
    <w:rsid w:val="00DD1D66"/>
    <w:rsid w:val="00E236AE"/>
    <w:rsid w:val="00E52B0D"/>
    <w:rsid w:val="00F2616B"/>
    <w:rsid w:val="00F4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632DF"/>
  <w15:docId w15:val="{B6CEFC7F-B45F-4B09-ACCE-27FB88EC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line="276" w:lineRule="auto"/>
    </w:pPr>
    <w:rPr>
      <w:rFonts w:cs="Arial Unicode MS"/>
      <w:color w:val="000000"/>
      <w:sz w:val="24"/>
      <w:szCs w:val="24"/>
      <w:u w:color="000000"/>
      <w:lang w:val="de-D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eastAsia="Times New Roman"/>
      <w:color w:val="000000"/>
      <w:sz w:val="24"/>
      <w:szCs w:val="24"/>
      <w:u w:color="000000"/>
    </w:rPr>
  </w:style>
  <w:style w:type="character" w:customStyle="1" w:styleId="None2">
    <w:name w:val="None 2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02C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C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C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C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C8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C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C86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C51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126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D94E6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376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replybuttonreplybuttonlabelfnxzv">
    <w:name w:val="replybutton_replybuttonlabel__fnxzv"/>
    <w:basedOn w:val="DefaultParagraphFont"/>
    <w:rsid w:val="00D37611"/>
  </w:style>
  <w:style w:type="paragraph" w:customStyle="1" w:styleId="muitreeitem-root">
    <w:name w:val="muitreeitem-root"/>
    <w:basedOn w:val="Normal"/>
    <w:rsid w:val="00D376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6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4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7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6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0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18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76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02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FFFFFF"/>
                                    <w:left w:val="single" w:sz="12" w:space="0" w:color="FFFFFF"/>
                                    <w:bottom w:val="single" w:sz="12" w:space="0" w:color="FFFFFF"/>
                                    <w:right w:val="single" w:sz="1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D7BF13958C64483E7E107A08507EA" ma:contentTypeVersion="3700" ma:contentTypeDescription="Create a new document." ma:contentTypeScope="" ma:versionID="46763b62e0f66d7b5264afe127b8fc39">
  <xsd:schema xmlns:xsd="http://www.w3.org/2001/XMLSchema" xmlns:xs="http://www.w3.org/2001/XMLSchema" xmlns:p="http://schemas.microsoft.com/office/2006/metadata/properties" xmlns:ns1="http://schemas.microsoft.com/sharepoint/v3" xmlns:ns2="b457ba54-12e9-41a3-ab87-ffd5bc645430" xmlns:ns3="37d47695-dda2-48a2-87bc-2a1f7ac7fedc" targetNamespace="http://schemas.microsoft.com/office/2006/metadata/properties" ma:root="true" ma:fieldsID="854007c2e29fb8c4c7afb79ff762f624" ns1:_="" ns2:_="" ns3:_="">
    <xsd:import namespace="http://schemas.microsoft.com/sharepoint/v3"/>
    <xsd:import namespace="b457ba54-12e9-41a3-ab87-ffd5bc645430"/>
    <xsd:import namespace="37d47695-dda2-48a2-87bc-2a1f7ac7f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7ba54-12e9-41a3-ab87-ffd5bc645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47695-dda2-48a2-87bc-2a1f7ac7fed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A74885-F958-46C6-BE58-75BE66025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57ba54-12e9-41a3-ab87-ffd5bc645430"/>
    <ds:schemaRef ds:uri="37d47695-dda2-48a2-87bc-2a1f7ac7f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AAC27A-2105-4024-B9A4-B0A7B6532432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b3b59848-949a-4ed4-8036-feb011ce2b52"/>
    <ds:schemaRef ds:uri="http://www.w3.org/XML/1998/namespace"/>
    <ds:schemaRef ds:uri="37d47695-dda2-48a2-87bc-2a1f7ac7fedc"/>
    <ds:schemaRef ds:uri="http://schemas.microsoft.com/office/infopath/2007/PartnerControls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656762D-E6F6-41F1-AF26-89F88C38F4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Milliken</dc:creator>
  <cp:keywords/>
  <cp:lastModifiedBy>Cameika Shelley</cp:lastModifiedBy>
  <cp:revision>2</cp:revision>
  <dcterms:created xsi:type="dcterms:W3CDTF">2022-01-13T02:31:00Z</dcterms:created>
  <dcterms:modified xsi:type="dcterms:W3CDTF">2022-01-13T02:31:00Z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0x010100911D7BF13958C64483E7E107A08507EA</vt:lpwstr>
  </property>
  <property fmtid="{D5CDD505-2E9C-101B-9397-08002B2CF9AE}" pid="3" name="DocumentDepartment">
    <vt:lpwstr>3;#Academic Program and Course Development|59abafec-cbf5-4238-a796-a3b74278f4db</vt:lpwstr>
  </property>
  <property fmtid="{D5CDD505-2E9C-101B-9397-08002B2CF9AE}" pid="4" name="TaxKeyword">
    <vt:lpwstr/>
  </property>
  <property fmtid="{D5CDD505-2E9C-101B-9397-08002B2CF9AE}" pid="5" name="DocumentBusinessValue">
    <vt:lpwstr>1;#Normal|581d4866-74cc-43f1-bef1-bb304cbfeaa5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Status">
    <vt:lpwstr/>
  </property>
  <property fmtid="{D5CDD505-2E9C-101B-9397-08002B2CF9AE}" pid="8" name="DocumentCategory">
    <vt:lpwstr/>
  </property>
  <property fmtid="{D5CDD505-2E9C-101B-9397-08002B2CF9AE}" pid="9" name="DocumentSubject">
    <vt:lpwstr/>
  </property>
  <property fmtid="{D5CDD505-2E9C-101B-9397-08002B2CF9AE}" pid="10" name="DocumentType">
    <vt:lpwstr/>
  </property>
  <property fmtid="{D5CDD505-2E9C-101B-9397-08002B2CF9AE}" pid="11" name="Order">
    <vt:r8>14706800</vt:r8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</Properties>
</file>